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Тьюторство в дополнительном образовании детей</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62.22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/Шмачилина-Цибенко С.В./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«Тьюторство в дополнительном образовании детей»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«Тьюторство в дополнительном образовании детей».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«Тьюторство в дополнительном образовании детей»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 методов и приемов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регламентирующие деятельность  в  условиях дополнительного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отбирать  формы, методы  и  приемы  педагогического сопровождения,  в соответствии  с возрастными  и  психологическим особенностями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профессиональными  практическими  умениями,  необходимыми  для методического  сопровождения ребенка  в  системе  дополнительного образования детей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алгоритм разработки возможных решений проблемной ситуации на основе системного подхода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грамотно, логично, аргументированно формулировать суждения и оценки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выявлять и оценивать практические последствия действий по разрешению проблемной ситуации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 ситуации и выявляет возможные риски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«Тьюторство в дополнительном образовании детей»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046.13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Теория и практика дополнительного образования</w:t>
            </w:r>
          </w:p>
          <w:p>
            <w:pPr>
              <w:jc w:val="center"/>
              <w:spacing w:after="0" w:line="240" w:lineRule="auto"/>
              <w:rPr>
                <w:sz w:val="22"/>
                <w:szCs w:val="22"/>
              </w:rPr>
            </w:pPr>
            <w:r>
              <w:rPr>
                <w:rFonts w:ascii="Times New Roman" w:hAnsi="Times New Roman" w:cs="Times New Roman"/>
                <w:color w:val="#000000"/>
                <w:sz w:val="22"/>
                <w:szCs w:val="22"/>
              </w:rPr>
              <w:t> Ценностно-целевые ориентиры современного воспитания</w:t>
            </w:r>
          </w:p>
          <w:p>
            <w:pPr>
              <w:jc w:val="center"/>
              <w:spacing w:after="0" w:line="240" w:lineRule="auto"/>
              <w:rPr>
                <w:sz w:val="22"/>
                <w:szCs w:val="22"/>
              </w:rPr>
            </w:pPr>
            <w:r>
              <w:rPr>
                <w:rFonts w:ascii="Times New Roman" w:hAnsi="Times New Roman" w:cs="Times New Roman"/>
                <w:color w:val="#000000"/>
                <w:sz w:val="22"/>
                <w:szCs w:val="22"/>
              </w:rPr>
              <w:t> Педагогическая диагностика в дополнительном образовании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Организация исследовательской деятельности детей</w:t>
            </w:r>
          </w:p>
          <w:p>
            <w:pPr>
              <w:jc w:val="center"/>
              <w:spacing w:after="0" w:line="240" w:lineRule="auto"/>
              <w:rPr>
                <w:sz w:val="22"/>
                <w:szCs w:val="22"/>
              </w:rPr>
            </w:pPr>
            <w:r>
              <w:rPr>
                <w:rFonts w:ascii="Times New Roman" w:hAnsi="Times New Roman" w:cs="Times New Roman"/>
                <w:color w:val="#000000"/>
                <w:sz w:val="22"/>
                <w:szCs w:val="22"/>
              </w:rPr>
              <w:t> Организация педагогического процесса в учреждениях дополнительного образования детей</w:t>
            </w:r>
          </w:p>
          <w:p>
            <w:pPr>
              <w:jc w:val="center"/>
              <w:spacing w:after="0" w:line="240" w:lineRule="auto"/>
              <w:rPr>
                <w:sz w:val="22"/>
                <w:szCs w:val="22"/>
              </w:rPr>
            </w:pPr>
            <w:r>
              <w:rPr>
                <w:rFonts w:ascii="Times New Roman" w:hAnsi="Times New Roman" w:cs="Times New Roman"/>
                <w:color w:val="#000000"/>
                <w:sz w:val="22"/>
                <w:szCs w:val="22"/>
              </w:rPr>
              <w:t> Основы методической деятельности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Оценка результатов освоения дополнительной образовательной программы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(2ч) Исторические и теоретические основы тьюторства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(4ч). Личность тьютора как фактор его профессиональной успешности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(4) Тьюторство как особая педагогическая позиция в дополнительном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(4ч) Организация тьюторского сопровождения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(4ч) Инструментарий работы тьютора.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1. Базовая модель тьюторского сопровождения разви-тия ребенка в условиях взаимодействия общего, дополнительного и профессио-нального образования. Коллоквиум. (4ч)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2. Взаимодействие вузов и образовательных учрежде-ний по сопровождению одаренных детей. Учебная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№3. Технологии организации тьюторского сопрово-ждения в дополнительном образовании.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№4. Субъективные технологии организации тьютор-ского взаимодействия. Круглый стол. (4 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№5. Технология организация индивидуального обра-зовательного маршрута (2 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106.9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(2ч) Исторические и теоретические основы тьюторства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тьюторства за рубежом. Тьюторство в Царской России. Современные модели тьюторства в странах Евросоюза и Ближнего Востока. Вызовы современного российского образования и потребность в тьюторстве. Российская модель тьюторства. Тьюторство как новое направление педагогической деятельности в российском образовании. Методология тьюторства. Реализация принципа индивидуализации в профессии тьютора. Модель индивидуализации и тьюторского сопровождения.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(4ч). Личность тьютора как фактор его профессиональной успешности</w:t>
            </w:r>
          </w:p>
        </w:tc>
      </w:tr>
      <w:tr>
        <w:trPr>
          <w:trHeight w:hRule="exact" w:val="1178.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Профессия тьютор. Нормативно-правовые основания деятельности тьютора. Сущность и специ-фика профессии тьютора. Границы профессиональной деятельности тьютора. Стандартизация тьюторской деятельности. Профессиональный стандарт тьютора. Документы, регламентирую-щие деятельность тьютора в образовательном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учреждении. Должностные обязанности тьютора. Тьюторы в штатном расписании образовательного учреждения. Оплата труда тьютора. Личность тьютора как фактор его профессиональной успешности». Диагностика по методике цветовых метафор. Самоанализ результатов диагностики. Тренинг профессионального развития. Развитие профессионально значимых качеств тьютора.</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(4) Тьюторство как особая педагогическая позиция в дополнительном образовании.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«тьютерство», «тьютор», тьюториал в образовательной среде. Тьюторство как педагогическое движение в России. Контекст и условия введения тьюторства в современном дополнительном образовании. Тьютор и педагог дополнительного образования. Нормативно-правовое оформление деятельности тьютора в дополнительном образовании. Задачи тьютора. Функционал новой позиции: управленческая функция; диагностическая, функция целеполагания, мотивационная, функция планирования, коммуникативная, функция контроля и рефлексии, методическая функция. Индивидуальное обучение, индивидуализация обучения.</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(4ч) Организация тьюторского сопровождения образовательного процесса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Актуальность тьюторского сопровождения. Педагогическая поддержка и тьюторст-во. Образовательное событие. Специфика событийных образовательных форматов. Осо- бенности организации и проведения образовательного события. Пять уровней тью- торского сопровождения образовательного процесса. Проектирование образа будущего. Индивидуальные и групповые тьютор-сессии по построению индивидуального образо- вательного маршрута, рефлексии движения по нему Приемы и методы для поддержания мотивации тьюторантов в процессе достижения целей. Тьюторская деятельность в рам- ках инновационной площадки.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(4ч) Инструментарий работы тьютора.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Консультационная функция тьютора как условие обретения тьюторантом личных смыслов. Виды тьюторских консультаций: стартовая консультация, аналитические кон- сультации, консультация рабочая, итоговая консультация. Конструктор модели тьютор- ского действия по М.Ю. Чередилиной. Тьюториал как ведущая форма работы тьютора с обучающимися (тьюторантами). Типовые задачи тьютора: знакомство (вхождение в деятельность), активизация («размораживание»), организация изучения, организация групповой и индивидуальной работы, обратной связи и рефлексии. Коммуникативные, мотивационные тренинги в тьюторской деятельности. Метафорические карты в работе тьютора. Когнитивная технология обучения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1. Базовая модель тьюторского сопровождения разви-тия ребенка в условиях взаимодействия общего, дополнительного и профессио-нального образования. Коллоквиум. (4ч)</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на коллоквиуме.</w:t>
            </w:r>
          </w:p>
          <w:p>
            <w:pPr>
              <w:jc w:val="both"/>
              <w:spacing w:after="0" w:line="240" w:lineRule="auto"/>
              <w:rPr>
                <w:sz w:val="24"/>
                <w:szCs w:val="24"/>
              </w:rPr>
            </w:pPr>
            <w:r>
              <w:rPr>
                <w:rFonts w:ascii="Times New Roman" w:hAnsi="Times New Roman" w:cs="Times New Roman"/>
                <w:color w:val="#000000"/>
                <w:sz w:val="24"/>
                <w:szCs w:val="24"/>
              </w:rPr>
              <w:t> 1.	Субъекты тьюторского сопровождения ребенка. Функции тьютора.</w:t>
            </w:r>
          </w:p>
          <w:p>
            <w:pPr>
              <w:jc w:val="both"/>
              <w:spacing w:after="0" w:line="240" w:lineRule="auto"/>
              <w:rPr>
                <w:sz w:val="24"/>
                <w:szCs w:val="24"/>
              </w:rPr>
            </w:pPr>
            <w:r>
              <w:rPr>
                <w:rFonts w:ascii="Times New Roman" w:hAnsi="Times New Roman" w:cs="Times New Roman"/>
                <w:color w:val="#000000"/>
                <w:sz w:val="24"/>
                <w:szCs w:val="24"/>
              </w:rPr>
              <w:t> 2.	Регламенты тьюторского сопровождения. Регламентация.</w:t>
            </w:r>
          </w:p>
          <w:p>
            <w:pPr>
              <w:jc w:val="both"/>
              <w:spacing w:after="0" w:line="240" w:lineRule="auto"/>
              <w:rPr>
                <w:sz w:val="24"/>
                <w:szCs w:val="24"/>
              </w:rPr>
            </w:pPr>
            <w:r>
              <w:rPr>
                <w:rFonts w:ascii="Times New Roman" w:hAnsi="Times New Roman" w:cs="Times New Roman"/>
                <w:color w:val="#000000"/>
                <w:sz w:val="24"/>
                <w:szCs w:val="24"/>
              </w:rPr>
              <w:t> 3.	Проблема механизма отбора педагогов-тьюторов для разных категорий детей.</w:t>
            </w:r>
          </w:p>
          <w:p>
            <w:pPr>
              <w:jc w:val="both"/>
              <w:spacing w:after="0" w:line="240" w:lineRule="auto"/>
              <w:rPr>
                <w:sz w:val="24"/>
                <w:szCs w:val="24"/>
              </w:rPr>
            </w:pPr>
            <w:r>
              <w:rPr>
                <w:rFonts w:ascii="Times New Roman" w:hAnsi="Times New Roman" w:cs="Times New Roman"/>
                <w:color w:val="#000000"/>
                <w:sz w:val="24"/>
                <w:szCs w:val="24"/>
              </w:rPr>
              <w:t> 4.	Подходы к тьюторскому сопровождению одаренного ребенка.</w:t>
            </w:r>
          </w:p>
          <w:p>
            <w:pPr>
              <w:jc w:val="both"/>
              <w:spacing w:after="0" w:line="240" w:lineRule="auto"/>
              <w:rPr>
                <w:sz w:val="24"/>
                <w:szCs w:val="24"/>
              </w:rPr>
            </w:pPr>
            <w:r>
              <w:rPr>
                <w:rFonts w:ascii="Times New Roman" w:hAnsi="Times New Roman" w:cs="Times New Roman"/>
                <w:color w:val="#000000"/>
                <w:sz w:val="24"/>
                <w:szCs w:val="24"/>
              </w:rPr>
              <w:t> 5.	Подходы к тьюторскому сопровождению ребенка с ОВЗ.</w:t>
            </w:r>
          </w:p>
          <w:p>
            <w:pPr>
              <w:jc w:val="both"/>
              <w:spacing w:after="0" w:line="240" w:lineRule="auto"/>
              <w:rPr>
                <w:sz w:val="24"/>
                <w:szCs w:val="24"/>
              </w:rPr>
            </w:pPr>
            <w:r>
              <w:rPr>
                <w:rFonts w:ascii="Times New Roman" w:hAnsi="Times New Roman" w:cs="Times New Roman"/>
                <w:color w:val="#000000"/>
                <w:sz w:val="24"/>
                <w:szCs w:val="24"/>
              </w:rPr>
              <w:t> 6.	Методологические подходы тьюторской деятельности.</w:t>
            </w:r>
          </w:p>
          <w:p>
            <w:pPr>
              <w:jc w:val="both"/>
              <w:spacing w:after="0" w:line="240" w:lineRule="auto"/>
              <w:rPr>
                <w:sz w:val="24"/>
                <w:szCs w:val="24"/>
              </w:rPr>
            </w:pPr>
            <w:r>
              <w:rPr>
                <w:rFonts w:ascii="Times New Roman" w:hAnsi="Times New Roman" w:cs="Times New Roman"/>
                <w:color w:val="#000000"/>
                <w:sz w:val="24"/>
                <w:szCs w:val="24"/>
              </w:rPr>
              <w:t> 7.	Принципы тьюторского сопровождения. Основные идеи концепции тьюторского сопровождения ребенка.</w:t>
            </w:r>
          </w:p>
          <w:p>
            <w:pPr>
              <w:jc w:val="both"/>
              <w:spacing w:after="0" w:line="240" w:lineRule="auto"/>
              <w:rPr>
                <w:sz w:val="24"/>
                <w:szCs w:val="24"/>
              </w:rPr>
            </w:pPr>
            <w:r>
              <w:rPr>
                <w:rFonts w:ascii="Times New Roman" w:hAnsi="Times New Roman" w:cs="Times New Roman"/>
                <w:color w:val="#000000"/>
                <w:sz w:val="24"/>
                <w:szCs w:val="24"/>
              </w:rPr>
              <w:t> 8.	Концепция педагогической деятельности тьютора.</w:t>
            </w:r>
          </w:p>
          <w:p>
            <w:pPr>
              <w:jc w:val="both"/>
              <w:spacing w:after="0" w:line="240" w:lineRule="auto"/>
              <w:rPr>
                <w:sz w:val="24"/>
                <w:szCs w:val="24"/>
              </w:rPr>
            </w:pPr>
            <w:r>
              <w:rPr>
                <w:rFonts w:ascii="Times New Roman" w:hAnsi="Times New Roman" w:cs="Times New Roman"/>
                <w:color w:val="#000000"/>
                <w:sz w:val="24"/>
                <w:szCs w:val="24"/>
              </w:rPr>
              <w:t> 9.	Особенности содержания тьюторской деятельности в работе с детьми с особыми образовательными потребностями, одаренными детьми.</w:t>
            </w:r>
          </w:p>
          <w:p>
            <w:pPr>
              <w:jc w:val="both"/>
              <w:spacing w:after="0" w:line="240" w:lineRule="auto"/>
              <w:rPr>
                <w:sz w:val="24"/>
                <w:szCs w:val="24"/>
              </w:rPr>
            </w:pPr>
            <w:r>
              <w:rPr>
                <w:rFonts w:ascii="Times New Roman" w:hAnsi="Times New Roman" w:cs="Times New Roman"/>
                <w:color w:val="#000000"/>
                <w:sz w:val="24"/>
                <w:szCs w:val="24"/>
              </w:rPr>
              <w:t> 10.	Технологии организации тьюторского сопровождения одаренного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2. Взаимодействие вузов и образовательных учрежде-ний по сопровождению одаренных детей. Учебная игра.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учебной игры «Центр по взаимодействию вузов и образовательных уч-реждений по сопровождению одаренных детей»</w:t>
            </w:r>
          </w:p>
          <w:p>
            <w:pPr>
              <w:jc w:val="both"/>
              <w:spacing w:after="0" w:line="240" w:lineRule="auto"/>
              <w:rPr>
                <w:sz w:val="24"/>
                <w:szCs w:val="24"/>
              </w:rPr>
            </w:pPr>
            <w:r>
              <w:rPr>
                <w:rFonts w:ascii="Times New Roman" w:hAnsi="Times New Roman" w:cs="Times New Roman"/>
                <w:color w:val="#000000"/>
                <w:sz w:val="24"/>
                <w:szCs w:val="24"/>
              </w:rPr>
              <w:t> Цель игры: изучение проблемы взаимодействия вузов и образовательных учреж-дений по сопровождению одаренных детей.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№3. Технологии организации тьюторского сопрово-ждения в дополнительном образовании. Круглый стол.</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дискуссии.</w:t>
            </w:r>
          </w:p>
          <w:p>
            <w:pPr>
              <w:jc w:val="both"/>
              <w:spacing w:after="0" w:line="240" w:lineRule="auto"/>
              <w:rPr>
                <w:sz w:val="24"/>
                <w:szCs w:val="24"/>
              </w:rPr>
            </w:pPr>
            <w:r>
              <w:rPr>
                <w:rFonts w:ascii="Times New Roman" w:hAnsi="Times New Roman" w:cs="Times New Roman"/>
                <w:color w:val="#000000"/>
                <w:sz w:val="24"/>
                <w:szCs w:val="24"/>
              </w:rPr>
              <w:t> 1.	Технология тьюторского сопровождения исследовательской деятельности обу- чающегося.</w:t>
            </w:r>
          </w:p>
          <w:p>
            <w:pPr>
              <w:jc w:val="both"/>
              <w:spacing w:after="0" w:line="240" w:lineRule="auto"/>
              <w:rPr>
                <w:sz w:val="24"/>
                <w:szCs w:val="24"/>
              </w:rPr>
            </w:pPr>
            <w:r>
              <w:rPr>
                <w:rFonts w:ascii="Times New Roman" w:hAnsi="Times New Roman" w:cs="Times New Roman"/>
                <w:color w:val="#000000"/>
                <w:sz w:val="24"/>
                <w:szCs w:val="24"/>
              </w:rPr>
              <w:t> 2.	Роль тьютора в процессе исследовательской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3.	Индивидуальные и групповые исследовательские работы.</w:t>
            </w:r>
          </w:p>
          <w:p>
            <w:pPr>
              <w:jc w:val="both"/>
              <w:spacing w:after="0" w:line="240" w:lineRule="auto"/>
              <w:rPr>
                <w:sz w:val="24"/>
                <w:szCs w:val="24"/>
              </w:rPr>
            </w:pPr>
            <w:r>
              <w:rPr>
                <w:rFonts w:ascii="Times New Roman" w:hAnsi="Times New Roman" w:cs="Times New Roman"/>
                <w:color w:val="#000000"/>
                <w:sz w:val="24"/>
                <w:szCs w:val="24"/>
              </w:rPr>
              <w:t> 4.	Технология тьюторского сопровождения проектной деятельности обучающего-ся.</w:t>
            </w:r>
          </w:p>
          <w:p>
            <w:pPr>
              <w:jc w:val="both"/>
              <w:spacing w:after="0" w:line="240" w:lineRule="auto"/>
              <w:rPr>
                <w:sz w:val="24"/>
                <w:szCs w:val="24"/>
              </w:rPr>
            </w:pPr>
            <w:r>
              <w:rPr>
                <w:rFonts w:ascii="Times New Roman" w:hAnsi="Times New Roman" w:cs="Times New Roman"/>
                <w:color w:val="#000000"/>
                <w:sz w:val="24"/>
                <w:szCs w:val="24"/>
              </w:rPr>
              <w:t> 5.	Причины использования метода проектов.</w:t>
            </w:r>
          </w:p>
          <w:p>
            <w:pPr>
              <w:jc w:val="both"/>
              <w:spacing w:after="0" w:line="240" w:lineRule="auto"/>
              <w:rPr>
                <w:sz w:val="24"/>
                <w:szCs w:val="24"/>
              </w:rPr>
            </w:pPr>
            <w:r>
              <w:rPr>
                <w:rFonts w:ascii="Times New Roman" w:hAnsi="Times New Roman" w:cs="Times New Roman"/>
                <w:color w:val="#000000"/>
                <w:sz w:val="24"/>
                <w:szCs w:val="24"/>
              </w:rPr>
              <w:t> 6.	Методы используемы в рамках данной технологии.</w:t>
            </w:r>
          </w:p>
          <w:p>
            <w:pPr>
              <w:jc w:val="both"/>
              <w:spacing w:after="0" w:line="240" w:lineRule="auto"/>
              <w:rPr>
                <w:sz w:val="24"/>
                <w:szCs w:val="24"/>
              </w:rPr>
            </w:pPr>
            <w:r>
              <w:rPr>
                <w:rFonts w:ascii="Times New Roman" w:hAnsi="Times New Roman" w:cs="Times New Roman"/>
                <w:color w:val="#000000"/>
                <w:sz w:val="24"/>
                <w:szCs w:val="24"/>
              </w:rPr>
              <w:t> 7.	Технология тьюторского сопровождения деловой игры. Основные этапы дело-вой игры.</w:t>
            </w:r>
          </w:p>
          <w:p>
            <w:pPr>
              <w:jc w:val="both"/>
              <w:spacing w:after="0" w:line="240" w:lineRule="auto"/>
              <w:rPr>
                <w:sz w:val="24"/>
                <w:szCs w:val="24"/>
              </w:rPr>
            </w:pPr>
            <w:r>
              <w:rPr>
                <w:rFonts w:ascii="Times New Roman" w:hAnsi="Times New Roman" w:cs="Times New Roman"/>
                <w:color w:val="#000000"/>
                <w:sz w:val="24"/>
                <w:szCs w:val="24"/>
              </w:rPr>
              <w:t> 8.	Технология сопровождения электронного интерактивного обучения.</w:t>
            </w:r>
          </w:p>
          <w:p>
            <w:pPr>
              <w:jc w:val="both"/>
              <w:spacing w:after="0" w:line="240" w:lineRule="auto"/>
              <w:rPr>
                <w:sz w:val="24"/>
                <w:szCs w:val="24"/>
              </w:rPr>
            </w:pPr>
            <w:r>
              <w:rPr>
                <w:rFonts w:ascii="Times New Roman" w:hAnsi="Times New Roman" w:cs="Times New Roman"/>
                <w:color w:val="#000000"/>
                <w:sz w:val="24"/>
                <w:szCs w:val="24"/>
              </w:rPr>
              <w:t> 9.	 Средства и методы электронного интерактивного обучения.</w:t>
            </w:r>
          </w:p>
          <w:p>
            <w:pPr>
              <w:jc w:val="both"/>
              <w:spacing w:after="0" w:line="240" w:lineRule="auto"/>
              <w:rPr>
                <w:sz w:val="24"/>
                <w:szCs w:val="24"/>
              </w:rPr>
            </w:pPr>
            <w:r>
              <w:rPr>
                <w:rFonts w:ascii="Times New Roman" w:hAnsi="Times New Roman" w:cs="Times New Roman"/>
                <w:color w:val="#000000"/>
                <w:sz w:val="24"/>
                <w:szCs w:val="24"/>
              </w:rPr>
              <w:t> 10.	Задачи тьютора. Технология организации тьютором образовательных экспеди-ций. Этапы подготовки к экспедиции.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№4. Субъективные технологии организации тьютор-ского взаимодействия. Круглый стол. (4 ч)</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Технология консультирования и ее преимущества в дополнительном образова-нии.</w:t>
            </w:r>
          </w:p>
          <w:p>
            <w:pPr>
              <w:jc w:val="both"/>
              <w:spacing w:after="0" w:line="240" w:lineRule="auto"/>
              <w:rPr>
                <w:sz w:val="24"/>
                <w:szCs w:val="24"/>
              </w:rPr>
            </w:pPr>
            <w:r>
              <w:rPr>
                <w:rFonts w:ascii="Times New Roman" w:hAnsi="Times New Roman" w:cs="Times New Roman"/>
                <w:color w:val="#000000"/>
                <w:sz w:val="24"/>
                <w:szCs w:val="24"/>
              </w:rPr>
              <w:t> 2.	Тренинговая технология, виды тренингов в работе тьютора с одаренными деть-ми.</w:t>
            </w:r>
          </w:p>
          <w:p>
            <w:pPr>
              <w:jc w:val="both"/>
              <w:spacing w:after="0" w:line="240" w:lineRule="auto"/>
              <w:rPr>
                <w:sz w:val="24"/>
                <w:szCs w:val="24"/>
              </w:rPr>
            </w:pPr>
            <w:r>
              <w:rPr>
                <w:rFonts w:ascii="Times New Roman" w:hAnsi="Times New Roman" w:cs="Times New Roman"/>
                <w:color w:val="#000000"/>
                <w:sz w:val="24"/>
                <w:szCs w:val="24"/>
              </w:rPr>
              <w:t> 3.	Технология организации образовательного события, ее особенности и фазы.</w:t>
            </w:r>
          </w:p>
          <w:p>
            <w:pPr>
              <w:jc w:val="both"/>
              <w:spacing w:after="0" w:line="240" w:lineRule="auto"/>
              <w:rPr>
                <w:sz w:val="24"/>
                <w:szCs w:val="24"/>
              </w:rPr>
            </w:pPr>
            <w:r>
              <w:rPr>
                <w:rFonts w:ascii="Times New Roman" w:hAnsi="Times New Roman" w:cs="Times New Roman"/>
                <w:color w:val="#000000"/>
                <w:sz w:val="24"/>
                <w:szCs w:val="24"/>
              </w:rPr>
              <w:t> 4.	Тьюториал, как технология, направленная на приобретение опыта использова-ния модельных и нестандартных ситуаций в построении индивидуальных обра-зовательных программ, задачи тьютора в рамках данной технологии.</w:t>
            </w:r>
          </w:p>
          <w:p>
            <w:pPr>
              <w:jc w:val="both"/>
              <w:spacing w:after="0" w:line="240" w:lineRule="auto"/>
              <w:rPr>
                <w:sz w:val="24"/>
                <w:szCs w:val="24"/>
              </w:rPr>
            </w:pPr>
            <w:r>
              <w:rPr>
                <w:rFonts w:ascii="Times New Roman" w:hAnsi="Times New Roman" w:cs="Times New Roman"/>
                <w:color w:val="#000000"/>
                <w:sz w:val="24"/>
                <w:szCs w:val="24"/>
              </w:rPr>
              <w:t> 5.	Технология профильных и профессиональных проб.</w:t>
            </w:r>
          </w:p>
          <w:p>
            <w:pPr>
              <w:jc w:val="both"/>
              <w:spacing w:after="0" w:line="240" w:lineRule="auto"/>
              <w:rPr>
                <w:sz w:val="24"/>
                <w:szCs w:val="24"/>
              </w:rPr>
            </w:pPr>
            <w:r>
              <w:rPr>
                <w:rFonts w:ascii="Times New Roman" w:hAnsi="Times New Roman" w:cs="Times New Roman"/>
                <w:color w:val="#000000"/>
                <w:sz w:val="24"/>
                <w:szCs w:val="24"/>
              </w:rPr>
              <w:t> 6.	Роль тьютора как организатора самостоятельной образовательной деятельности школьника.</w:t>
            </w:r>
          </w:p>
          <w:p>
            <w:pPr>
              <w:jc w:val="both"/>
              <w:spacing w:after="0" w:line="240" w:lineRule="auto"/>
              <w:rPr>
                <w:sz w:val="24"/>
                <w:szCs w:val="24"/>
              </w:rPr>
            </w:pPr>
            <w:r>
              <w:rPr>
                <w:rFonts w:ascii="Times New Roman" w:hAnsi="Times New Roman" w:cs="Times New Roman"/>
                <w:color w:val="#000000"/>
                <w:sz w:val="24"/>
                <w:szCs w:val="24"/>
              </w:rPr>
              <w:t> 7.	Технология портфолио, механизм его оценки.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№5. Технология организация индивидуального обра- зовательного маршрута (2 ч).</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Технология организация индивидуального образовательного маршрута одарен-ного ребенка.</w:t>
            </w:r>
          </w:p>
          <w:p>
            <w:pPr>
              <w:jc w:val="both"/>
              <w:spacing w:after="0" w:line="240" w:lineRule="auto"/>
              <w:rPr>
                <w:sz w:val="24"/>
                <w:szCs w:val="24"/>
              </w:rPr>
            </w:pPr>
            <w:r>
              <w:rPr>
                <w:rFonts w:ascii="Times New Roman" w:hAnsi="Times New Roman" w:cs="Times New Roman"/>
                <w:color w:val="#000000"/>
                <w:sz w:val="24"/>
                <w:szCs w:val="24"/>
              </w:rPr>
              <w:t> 2.	Необходимость построения индивидуальных образовательных программ для реализации индивидуальных образовательных маршрутов.</w:t>
            </w:r>
          </w:p>
          <w:p>
            <w:pPr>
              <w:jc w:val="both"/>
              <w:spacing w:after="0" w:line="240" w:lineRule="auto"/>
              <w:rPr>
                <w:sz w:val="24"/>
                <w:szCs w:val="24"/>
              </w:rPr>
            </w:pPr>
            <w:r>
              <w:rPr>
                <w:rFonts w:ascii="Times New Roman" w:hAnsi="Times New Roman" w:cs="Times New Roman"/>
                <w:color w:val="#000000"/>
                <w:sz w:val="24"/>
                <w:szCs w:val="24"/>
              </w:rPr>
              <w:t> 3.	Комплекс факторов определяющих выбор того или иного индивидуального об- разовательного маршрута.</w:t>
            </w:r>
          </w:p>
          <w:p>
            <w:pPr>
              <w:jc w:val="both"/>
              <w:spacing w:after="0" w:line="240" w:lineRule="auto"/>
              <w:rPr>
                <w:sz w:val="24"/>
                <w:szCs w:val="24"/>
              </w:rPr>
            </w:pPr>
            <w:r>
              <w:rPr>
                <w:rFonts w:ascii="Times New Roman" w:hAnsi="Times New Roman" w:cs="Times New Roman"/>
                <w:color w:val="#000000"/>
                <w:sz w:val="24"/>
                <w:szCs w:val="24"/>
              </w:rPr>
              <w:t> 4.	Структура индивидуального образовательного маршрута.</w:t>
            </w:r>
          </w:p>
          <w:p>
            <w:pPr>
              <w:jc w:val="both"/>
              <w:spacing w:after="0" w:line="240" w:lineRule="auto"/>
              <w:rPr>
                <w:sz w:val="24"/>
                <w:szCs w:val="24"/>
              </w:rPr>
            </w:pPr>
            <w:r>
              <w:rPr>
                <w:rFonts w:ascii="Times New Roman" w:hAnsi="Times New Roman" w:cs="Times New Roman"/>
                <w:color w:val="#000000"/>
                <w:sz w:val="24"/>
                <w:szCs w:val="24"/>
              </w:rPr>
              <w:t> 5.	Формы организации деятельности в рамках индивидуального образовательного маршрута.</w:t>
            </w:r>
          </w:p>
          <w:p>
            <w:pPr>
              <w:jc w:val="both"/>
              <w:spacing w:after="0" w:line="240" w:lineRule="auto"/>
              <w:rPr>
                <w:sz w:val="24"/>
                <w:szCs w:val="24"/>
              </w:rPr>
            </w:pPr>
            <w:r>
              <w:rPr>
                <w:rFonts w:ascii="Times New Roman" w:hAnsi="Times New Roman" w:cs="Times New Roman"/>
                <w:color w:val="#000000"/>
                <w:sz w:val="24"/>
                <w:szCs w:val="24"/>
              </w:rPr>
              <w:t> 6.	Этапы совместной деятельности в рамках сетевого взаимодействия по организации индивидуального образовательного маршрута.</w:t>
            </w:r>
          </w:p>
          <w:p>
            <w:pPr>
              <w:jc w:val="both"/>
              <w:spacing w:after="0" w:line="240" w:lineRule="auto"/>
              <w:rPr>
                <w:sz w:val="24"/>
                <w:szCs w:val="24"/>
              </w:rPr>
            </w:pPr>
            <w:r>
              <w:rPr>
                <w:rFonts w:ascii="Times New Roman" w:hAnsi="Times New Roman" w:cs="Times New Roman"/>
                <w:color w:val="#000000"/>
                <w:sz w:val="24"/>
                <w:szCs w:val="24"/>
              </w:rPr>
              <w:t> 7.	Контроль за выполнением индивидуального образовательного маршрута.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«Тьюторство в дополнительном образовании детей» / Шмачилина-Цибенко С.В..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Мухамедьярова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978-5-534-14037-8.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https://urait.ru/bcode/471121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учреждения</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https://urait.ru/bcode/475990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Дейч</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Кошман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Кучеревская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Малахова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Свиридова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978-5-534-07707-0.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https://urait.ru/bcode/473046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одаренных</w:t>
            </w:r>
            <w:r>
              <w:rPr/>
              <w:t xml:space="preserve"> </w:t>
            </w:r>
            <w:r>
              <w:rPr>
                <w:rFonts w:ascii="Times New Roman" w:hAnsi="Times New Roman" w:cs="Times New Roman"/>
                <w:color w:val="#000000"/>
                <w:sz w:val="24"/>
                <w:szCs w:val="24"/>
              </w:rPr>
              <w:t>старшеклассников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Лекомцева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Синицын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Лукьянова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https://urait.ru/bcode/471111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программам</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Криницкая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https://urait.ru/bcode/471109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978-5-534-07619-6.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https://urait.ru/bcode/471266</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31.65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2024-2025_ФГОС3++2024_Маг-ЗФО-ПО(ДО)(24)_plx_Тьюторство в дополнительном образовании детей</dc:title>
  <dc:creator>FastReport.NET</dc:creator>
</cp:coreProperties>
</file>